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947" w:rsidRPr="0032067B" w:rsidRDefault="005D7280" w:rsidP="00700CD1">
      <w:pPr>
        <w:jc w:val="center"/>
        <w:rPr>
          <w:sz w:val="28"/>
        </w:rPr>
      </w:pPr>
      <w:r w:rsidRPr="0032067B">
        <w:rPr>
          <w:sz w:val="28"/>
        </w:rPr>
        <w:t>On the use of LiDAR at AmeriFlux sites</w:t>
      </w:r>
    </w:p>
    <w:p w:rsidR="005D7280" w:rsidRDefault="005D7280" w:rsidP="00700CD1">
      <w:pPr>
        <w:jc w:val="center"/>
      </w:pPr>
      <w:r>
        <w:t>Summary of a White paper in progress</w:t>
      </w:r>
    </w:p>
    <w:p w:rsidR="00493533" w:rsidRDefault="008C76E5" w:rsidP="00700CD1">
      <w:pPr>
        <w:jc w:val="center"/>
      </w:pPr>
      <w:r>
        <w:t xml:space="preserve">Martin </w:t>
      </w:r>
      <w:proofErr w:type="spellStart"/>
      <w:r>
        <w:t>Beland</w:t>
      </w:r>
      <w:proofErr w:type="spellEnd"/>
      <w:r>
        <w:br/>
        <w:t>Postdoc Fellow, Biometeorology lab</w:t>
      </w:r>
      <w:r>
        <w:br/>
        <w:t>Department of Environmental Science, Policy and Management</w:t>
      </w:r>
      <w:r>
        <w:br/>
        <w:t>University of California, Berkeley</w:t>
      </w:r>
    </w:p>
    <w:p w:rsidR="009A13EC" w:rsidRDefault="009A13EC"/>
    <w:p w:rsidR="00625CBE" w:rsidRDefault="00C950C7" w:rsidP="00BF7076">
      <w:pPr>
        <w:spacing w:after="360" w:line="360" w:lineRule="auto"/>
      </w:pPr>
      <w:r>
        <w:t xml:space="preserve">LiDAR measurements can provide information about canopy structure, e.g., the </w:t>
      </w:r>
      <w:r w:rsidRPr="00C7683B">
        <w:t>vertical and</w:t>
      </w:r>
      <w:r>
        <w:t xml:space="preserve"> </w:t>
      </w:r>
      <w:r w:rsidRPr="00C7683B">
        <w:t>horizontal organization of plant material</w:t>
      </w:r>
      <w:r>
        <w:t xml:space="preserve">, which is known to influence interactions between the atmosphere and the land surface. The aim of the white paper being prepared for AmeriFlux is to advise on the use of LiDAR technology for supporting research at AmeriFlux sites. </w:t>
      </w:r>
      <w:r w:rsidR="00E907F1">
        <w:t>Four</w:t>
      </w:r>
      <w:r>
        <w:t xml:space="preserve"> types of LiDAR systems are considered: Airborne Laser Scanning (ALS), fixed-location Terrestrial Laser Scanning (TLS), the Portable Canopy LiDAR (PCL)</w:t>
      </w:r>
      <w:r w:rsidR="00E907F1">
        <w:t xml:space="preserve">, and the Unstaffed Aerial Vehicle (UAV)-based LiDAR system </w:t>
      </w:r>
      <w:r>
        <w:t xml:space="preserve">(see </w:t>
      </w:r>
      <w:r w:rsidR="00E907F1">
        <w:fldChar w:fldCharType="begin"/>
      </w:r>
      <w:r w:rsidR="00E907F1">
        <w:instrText xml:space="preserve"> REF _Ref373942315 \h </w:instrText>
      </w:r>
      <w:r w:rsidR="00D24BF0">
        <w:instrText xml:space="preserve"> \* MERGEFORMAT </w:instrText>
      </w:r>
      <w:r w:rsidR="00E907F1">
        <w:fldChar w:fldCharType="separate"/>
      </w:r>
      <w:r w:rsidR="00BF7076" w:rsidRPr="00BF7076">
        <w:t xml:space="preserve">Figure </w:t>
      </w:r>
      <w:r w:rsidR="00BF7076" w:rsidRPr="00BF7076">
        <w:rPr>
          <w:noProof/>
        </w:rPr>
        <w:t>1</w:t>
      </w:r>
      <w:r w:rsidR="00E907F1">
        <w:fldChar w:fldCharType="end"/>
      </w:r>
      <w:r w:rsidR="00E907F1">
        <w:t xml:space="preserve"> </w:t>
      </w:r>
      <w:r>
        <w:t xml:space="preserve">for graphic descriptions of the systems). </w:t>
      </w:r>
    </w:p>
    <w:p w:rsidR="00625CBE" w:rsidRDefault="00625CBE" w:rsidP="00BF7076">
      <w:pPr>
        <w:spacing w:after="360" w:line="360" w:lineRule="auto"/>
      </w:pPr>
      <w:r>
        <w:t>In the fall of 2012 I conducted a survey to build a database on current LiDAR acquisitions over FLUXNET sites (see</w:t>
      </w:r>
      <w:r w:rsidR="007D5181">
        <w:t xml:space="preserve"> </w:t>
      </w:r>
      <w:r w:rsidR="007D5181">
        <w:fldChar w:fldCharType="begin"/>
      </w:r>
      <w:r w:rsidR="007D5181">
        <w:instrText xml:space="preserve"> REF _Ref374002112 \h </w:instrText>
      </w:r>
      <w:r w:rsidR="00D24BF0">
        <w:instrText xml:space="preserve"> \* MERGEFORMAT </w:instrText>
      </w:r>
      <w:r w:rsidR="007D5181">
        <w:fldChar w:fldCharType="separate"/>
      </w:r>
      <w:r w:rsidR="00BF7076" w:rsidRPr="00BF7076">
        <w:t xml:space="preserve">Table </w:t>
      </w:r>
      <w:r w:rsidR="00BF7076" w:rsidRPr="00BF7076">
        <w:rPr>
          <w:noProof/>
        </w:rPr>
        <w:t>1</w:t>
      </w:r>
      <w:r w:rsidR="007D5181">
        <w:fldChar w:fldCharType="end"/>
      </w:r>
      <w:r>
        <w:t xml:space="preserve">). It emerges that data is often not exploited to its full potential; a limited number of products are derived from each dataset, the data is rarely shared, and acquisitions are made for specific purposes while they could benefit a range of studies. </w:t>
      </w:r>
      <w:r w:rsidR="00045E10">
        <w:t xml:space="preserve">It also emerges that the use of airborne LiDAR largely predominates the use of terrestrial LiDAR. One </w:t>
      </w:r>
      <w:r w:rsidR="002D7FF2">
        <w:t>could argue that this is not due to airborne systems being better suited for supporting research at flux sites, but rather to the fact that from a user’s perspective the terrestrial systems require significantly more investment (both human and financial).</w:t>
      </w:r>
      <w:r w:rsidR="00D603B9" w:rsidRPr="00D603B9">
        <w:t xml:space="preserve"> </w:t>
      </w:r>
      <w:r w:rsidR="00D603B9">
        <w:t>Here we propose pathways to improve the strategic use of the different types of LiDAR systems</w:t>
      </w:r>
      <w:r w:rsidR="00817D89">
        <w:t xml:space="preserve"> at AmeriFlux sites</w:t>
      </w:r>
      <w:r w:rsidR="00D603B9">
        <w:t>.</w:t>
      </w:r>
    </w:p>
    <w:p w:rsidR="00A42BFE" w:rsidRDefault="00A42BFE" w:rsidP="0032476D">
      <w:pPr>
        <w:spacing w:after="360" w:line="360" w:lineRule="auto"/>
      </w:pPr>
      <w:r>
        <w:t xml:space="preserve">In a general sense, the use of LiDAR data at AmeriFlux sites is expected to: (1) describe canopy structure </w:t>
      </w:r>
      <w:r w:rsidR="00ED64E1">
        <w:t xml:space="preserve">(e.g., tree height, leaf distribution, biomass) </w:t>
      </w:r>
      <w:r>
        <w:t>locally for each site</w:t>
      </w:r>
      <w:r w:rsidR="0032476D">
        <w:t>, and assess change in canopy structure through repeated samplings</w:t>
      </w:r>
      <w:r>
        <w:t xml:space="preserve">, (2) </w:t>
      </w:r>
      <w:r w:rsidR="007E4C3B">
        <w:t>provide</w:t>
      </w:r>
      <w:r w:rsidR="0032476D">
        <w:t xml:space="preserve"> greater geometric det</w:t>
      </w:r>
      <w:r w:rsidR="00E60E70">
        <w:t>ail for model hierarchy testing</w:t>
      </w:r>
      <w:r w:rsidR="0032476D">
        <w:t xml:space="preserve"> </w:t>
      </w:r>
      <w:r w:rsidR="007E4C3B">
        <w:t>aimed at improving</w:t>
      </w:r>
      <w:r w:rsidR="0032476D">
        <w:t xml:space="preserve"> estimates of radiative transfer as used for p</w:t>
      </w:r>
      <w:r w:rsidR="007E4C3B">
        <w:t xml:space="preserve">hotosynthesis </w:t>
      </w:r>
      <w:r w:rsidR="0032476D">
        <w:t xml:space="preserve">and energy fluxes in models of land atmosphere interactions, </w:t>
      </w:r>
      <w:r w:rsidR="007E4C3B">
        <w:t>which</w:t>
      </w:r>
      <w:r w:rsidR="0032476D">
        <w:t xml:space="preserve"> are the lower boundary condition for climate, carbon cycle and biogeochemical cycling models</w:t>
      </w:r>
      <w:r w:rsidR="007E4C3B">
        <w:t>, (3</w:t>
      </w:r>
      <w:r>
        <w:t>) improve understanding of relation</w:t>
      </w:r>
      <w:r w:rsidR="007E4C3B">
        <w:t xml:space="preserve">s between spatial heterogeneity, or variability, </w:t>
      </w:r>
      <w:r>
        <w:t xml:space="preserve">and ecosystem </w:t>
      </w:r>
      <w:r w:rsidR="00ED64E1">
        <w:t>dynamics</w:t>
      </w:r>
      <w:r w:rsidR="007E4C3B">
        <w:t>, and (4</w:t>
      </w:r>
      <w:r>
        <w:t xml:space="preserve">) improve capacities to interpret fluxes locally, as well as upscale fluxes to global level. Some of the related </w:t>
      </w:r>
      <w:r w:rsidR="00E3140D">
        <w:t xml:space="preserve">sciences questions </w:t>
      </w:r>
      <w:r>
        <w:t>require canopy structure information over large area</w:t>
      </w:r>
      <w:r w:rsidR="00E3140D">
        <w:t>s</w:t>
      </w:r>
      <w:r>
        <w:t xml:space="preserve">, provided by airborne LiDAR systems, while other science questions may require a higher level of detail provided by terrestrial LiDAR systems. </w:t>
      </w:r>
    </w:p>
    <w:p w:rsidR="00806A1A" w:rsidRDefault="006A5AEA" w:rsidP="00BF7076">
      <w:pPr>
        <w:spacing w:after="360" w:line="360" w:lineRule="auto"/>
      </w:pPr>
      <w:r>
        <w:lastRenderedPageBreak/>
        <w:t xml:space="preserve">The </w:t>
      </w:r>
      <w:r w:rsidR="00671CA6">
        <w:t xml:space="preserve">management context </w:t>
      </w:r>
      <w:r>
        <w:t xml:space="preserve">of </w:t>
      </w:r>
      <w:r w:rsidR="00806A1A">
        <w:t xml:space="preserve">AmeriFlux </w:t>
      </w:r>
      <w:r>
        <w:t xml:space="preserve">and the new generation of ecosystem manipulation experiments </w:t>
      </w:r>
      <w:r w:rsidR="00671CA6">
        <w:t xml:space="preserve">have implications which may influence </w:t>
      </w:r>
      <w:r w:rsidR="005E7736">
        <w:t>the way LiDAR data is used</w:t>
      </w:r>
      <w:r w:rsidR="003338FC">
        <w:t xml:space="preserve"> at flux sites. First, AmeriFlux </w:t>
      </w:r>
      <w:r w:rsidR="005E7736">
        <w:t xml:space="preserve">sites can share </w:t>
      </w:r>
      <w:proofErr w:type="gramStart"/>
      <w:r w:rsidR="005E7736">
        <w:t>resources, which enables</w:t>
      </w:r>
      <w:proofErr w:type="gramEnd"/>
      <w:r w:rsidR="005E7736">
        <w:t xml:space="preserve"> economies of scale in the acquisition and processing of LiDAR data. Second, manipulation experiments may shift information requirements from somewhat static descriptions of </w:t>
      </w:r>
      <w:r w:rsidR="008F2F72">
        <w:t xml:space="preserve">canopy </w:t>
      </w:r>
      <w:r w:rsidR="005E7736">
        <w:t xml:space="preserve">structure to dynamic descriptions with </w:t>
      </w:r>
      <w:r w:rsidR="008F2F72">
        <w:t>shorter</w:t>
      </w:r>
      <w:r w:rsidR="005E7736">
        <w:t xml:space="preserve"> repeat intervals. </w:t>
      </w:r>
    </w:p>
    <w:p w:rsidR="006B1BEA" w:rsidRDefault="00D51099" w:rsidP="00BF7076">
      <w:pPr>
        <w:spacing w:after="360" w:line="360" w:lineRule="auto"/>
      </w:pPr>
      <w:r>
        <w:t>Given the above considerations</w:t>
      </w:r>
      <w:r w:rsidR="00780218">
        <w:t xml:space="preserve"> and </w:t>
      </w:r>
      <w:r w:rsidR="00817D89">
        <w:t xml:space="preserve">cost-benefits </w:t>
      </w:r>
      <w:r w:rsidR="00780218">
        <w:t>for</w:t>
      </w:r>
      <w:r w:rsidR="00817D89">
        <w:t xml:space="preserve"> each LiDAR system</w:t>
      </w:r>
      <w:r>
        <w:t xml:space="preserve">, I recommend the following: </w:t>
      </w:r>
    </w:p>
    <w:p w:rsidR="006B1BEA" w:rsidRDefault="00D51099" w:rsidP="00BF7076">
      <w:pPr>
        <w:spacing w:after="360" w:line="360" w:lineRule="auto"/>
      </w:pPr>
      <w:r>
        <w:t xml:space="preserve">(1) </w:t>
      </w:r>
      <w:r w:rsidR="006B1BEA">
        <w:t>adopt a multi-scale LiDAR strategy (ground and airborne based) which would promote</w:t>
      </w:r>
      <w:r>
        <w:t xml:space="preserve"> </w:t>
      </w:r>
      <w:r w:rsidR="006B1BEA">
        <w:t xml:space="preserve">descriptions of canopy structure characteristics at appropriate scales for different science questions, as well as improve the quality of products derived </w:t>
      </w:r>
      <w:r w:rsidR="002A63A0">
        <w:t>from</w:t>
      </w:r>
      <w:r w:rsidR="008460B3">
        <w:t xml:space="preserve"> airborne sensors</w:t>
      </w:r>
      <w:r w:rsidR="00DC688F">
        <w:t xml:space="preserve"> which are</w:t>
      </w:r>
      <w:r w:rsidR="002A63A0">
        <w:t xml:space="preserve"> often</w:t>
      </w:r>
      <w:r w:rsidR="00DC688F">
        <w:t xml:space="preserve"> based on empirical</w:t>
      </w:r>
      <w:r w:rsidR="002A63A0">
        <w:t xml:space="preserve"> relations </w:t>
      </w:r>
      <w:r w:rsidR="00DC688F">
        <w:t>to</w:t>
      </w:r>
      <w:r w:rsidR="002A63A0">
        <w:t xml:space="preserve"> simple measures like trunk diameters (DBH)</w:t>
      </w:r>
      <w:r w:rsidR="008460B3">
        <w:t>,</w:t>
      </w:r>
    </w:p>
    <w:p w:rsidR="00D51099" w:rsidRDefault="006B1BEA" w:rsidP="00BF7076">
      <w:pPr>
        <w:spacing w:after="360" w:line="360" w:lineRule="auto"/>
      </w:pPr>
      <w:r>
        <w:t xml:space="preserve">(2) </w:t>
      </w:r>
      <w:proofErr w:type="gramStart"/>
      <w:r>
        <w:t>invest</w:t>
      </w:r>
      <w:proofErr w:type="gramEnd"/>
      <w:r>
        <w:t xml:space="preserve"> in a terrestrial LiDAR instrument and </w:t>
      </w:r>
      <w:r w:rsidR="008460B3">
        <w:t>recruit</w:t>
      </w:r>
      <w:r w:rsidR="008C0358">
        <w:t xml:space="preserve"> personnel </w:t>
      </w:r>
      <w:r w:rsidR="008460B3">
        <w:t>dedicated to</w:t>
      </w:r>
      <w:r w:rsidR="008C0358">
        <w:t xml:space="preserve"> the acquisition, processing and sharing of LiDAR data</w:t>
      </w:r>
      <w:r w:rsidR="008460B3">
        <w:t xml:space="preserve"> for all AmeriFlux sites</w:t>
      </w:r>
      <w:r w:rsidR="00D24BF0">
        <w:t>,</w:t>
      </w:r>
    </w:p>
    <w:p w:rsidR="008E758C" w:rsidRDefault="008E758C" w:rsidP="00BF7076">
      <w:pPr>
        <w:spacing w:after="360" w:line="360" w:lineRule="auto"/>
      </w:pPr>
      <w:r>
        <w:t xml:space="preserve">(3) </w:t>
      </w:r>
      <w:proofErr w:type="gramStart"/>
      <w:r>
        <w:t>invest</w:t>
      </w:r>
      <w:proofErr w:type="gramEnd"/>
      <w:r>
        <w:t xml:space="preserve"> in a Portable Canopy LiDAR and develop </w:t>
      </w:r>
      <w:r w:rsidR="0030429D">
        <w:t xml:space="preserve">measurement </w:t>
      </w:r>
      <w:r>
        <w:t xml:space="preserve">protocols for taking advantage of the </w:t>
      </w:r>
      <w:r w:rsidR="00F11465">
        <w:t>short</w:t>
      </w:r>
      <w:r>
        <w:t xml:space="preserve"> repeat intervals it </w:t>
      </w:r>
      <w:r w:rsidR="002239AD">
        <w:t>enables</w:t>
      </w:r>
      <w:r w:rsidR="00D24BF0">
        <w:t>,</w:t>
      </w:r>
    </w:p>
    <w:p w:rsidR="008460B3" w:rsidRDefault="008E758C" w:rsidP="00BF7076">
      <w:pPr>
        <w:spacing w:after="360" w:line="360" w:lineRule="auto"/>
      </w:pPr>
      <w:r>
        <w:t>(4</w:t>
      </w:r>
      <w:r w:rsidR="008460B3">
        <w:t xml:space="preserve">) promote </w:t>
      </w:r>
      <w:r>
        <w:t>the development of guidelines for the</w:t>
      </w:r>
      <w:r w:rsidR="008460B3">
        <w:t xml:space="preserve"> acquisition, processing, </w:t>
      </w:r>
      <w:r w:rsidR="00E60E70">
        <w:t xml:space="preserve">and </w:t>
      </w:r>
      <w:r w:rsidR="008460B3">
        <w:t>sharing of all types of LiDAR data</w:t>
      </w:r>
      <w:r>
        <w:t xml:space="preserve"> at flux sites, including emerging technologies like the UAV-based LiDAR system</w:t>
      </w:r>
      <w:r w:rsidR="00D24BF0">
        <w:t>.</w:t>
      </w:r>
      <w:r w:rsidR="0032476D">
        <w:t xml:space="preserve"> </w:t>
      </w:r>
      <w:bookmarkStart w:id="0" w:name="_GoBack"/>
      <w:bookmarkEnd w:id="0"/>
    </w:p>
    <w:p w:rsidR="009746E2" w:rsidRDefault="009746E2" w:rsidP="00625CBE"/>
    <w:p w:rsidR="00F4169C" w:rsidRDefault="00F4169C">
      <w:r>
        <w:br w:type="page"/>
      </w:r>
    </w:p>
    <w:tbl>
      <w:tblPr>
        <w:tblStyle w:val="TableGrid"/>
        <w:tblW w:w="0" w:type="auto"/>
        <w:tblLook w:val="04A0" w:firstRow="1" w:lastRow="0" w:firstColumn="1" w:lastColumn="0" w:noHBand="0" w:noVBand="1"/>
      </w:tblPr>
      <w:tblGrid>
        <w:gridCol w:w="4860"/>
        <w:gridCol w:w="4716"/>
      </w:tblGrid>
      <w:tr w:rsidR="00F4169C" w:rsidTr="00F4169C">
        <w:tc>
          <w:tcPr>
            <w:tcW w:w="4860" w:type="dxa"/>
            <w:tcBorders>
              <w:top w:val="nil"/>
              <w:left w:val="nil"/>
              <w:bottom w:val="nil"/>
            </w:tcBorders>
          </w:tcPr>
          <w:p w:rsidR="00F4169C" w:rsidRPr="001C0280" w:rsidRDefault="00643BB8" w:rsidP="00643BB8">
            <w:pPr>
              <w:pStyle w:val="Caption"/>
              <w:jc w:val="center"/>
              <w:rPr>
                <w:rFonts w:ascii="Times New Roman" w:hAnsi="Times New Roman" w:cs="Times New Roman"/>
                <w:b w:val="0"/>
                <w:color w:val="auto"/>
                <w:sz w:val="20"/>
                <w:szCs w:val="20"/>
              </w:rPr>
            </w:pPr>
            <w:r>
              <w:rPr>
                <w:rFonts w:ascii="Times New Roman" w:hAnsi="Times New Roman" w:cs="Times New Roman"/>
                <w:color w:val="auto"/>
                <w:sz w:val="20"/>
                <w:szCs w:val="20"/>
              </w:rPr>
              <w:lastRenderedPageBreak/>
              <w:t>Airborne LiDAR</w:t>
            </w:r>
            <w:r w:rsidR="00F4169C">
              <w:rPr>
                <w:noProof/>
                <w:lang w:eastAsia="en-CA"/>
              </w:rPr>
              <w:drawing>
                <wp:inline distT="0" distB="0" distL="0" distR="0" wp14:anchorId="628B2878" wp14:editId="0F9C7A5C">
                  <wp:extent cx="2231756" cy="2415653"/>
                  <wp:effectExtent l="0" t="0" r="0" b="3810"/>
                  <wp:docPr id="1" name="Picture 1" descr="http://pbo.unavco.org/images/data/imagery/airplane_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bo.unavco.org/images/data/imagery/airplane_gps.jpg"/>
                          <pic:cNvPicPr>
                            <a:picLocks noChangeAspect="1" noChangeArrowheads="1"/>
                          </pic:cNvPicPr>
                        </pic:nvPicPr>
                        <pic:blipFill rotWithShape="1">
                          <a:blip r:embed="rId6">
                            <a:extLst>
                              <a:ext uri="{28A0092B-C50C-407E-A947-70E740481C1C}">
                                <a14:useLocalDpi xmlns:a14="http://schemas.microsoft.com/office/drawing/2010/main" val="0"/>
                              </a:ext>
                            </a:extLst>
                          </a:blip>
                          <a:srcRect/>
                          <a:stretch/>
                        </pic:blipFill>
                        <pic:spPr bwMode="auto">
                          <a:xfrm>
                            <a:off x="0" y="0"/>
                            <a:ext cx="2242689" cy="2427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6" w:type="dxa"/>
            <w:tcBorders>
              <w:top w:val="nil"/>
              <w:bottom w:val="nil"/>
              <w:right w:val="nil"/>
            </w:tcBorders>
          </w:tcPr>
          <w:p w:rsidR="00F4169C" w:rsidRPr="00493533" w:rsidRDefault="00F4169C" w:rsidP="009266CB">
            <w:pPr>
              <w:pStyle w:val="Caption"/>
              <w:jc w:val="center"/>
              <w:rPr>
                <w:rFonts w:ascii="Times New Roman" w:hAnsi="Times New Roman" w:cs="Times New Roman"/>
                <w:color w:val="auto"/>
                <w:sz w:val="20"/>
                <w:szCs w:val="20"/>
              </w:rPr>
            </w:pPr>
            <w:r w:rsidRPr="00493533">
              <w:rPr>
                <w:rFonts w:ascii="Times New Roman" w:hAnsi="Times New Roman" w:cs="Times New Roman"/>
                <w:color w:val="auto"/>
                <w:sz w:val="20"/>
                <w:szCs w:val="20"/>
              </w:rPr>
              <w:t xml:space="preserve">Portable Canopy LiDAR </w:t>
            </w:r>
          </w:p>
          <w:p w:rsidR="00F4169C" w:rsidRPr="00F4169C" w:rsidRDefault="00F4169C" w:rsidP="00F4169C"/>
          <w:p w:rsidR="00F4169C" w:rsidRPr="00F4169C" w:rsidRDefault="00F4169C" w:rsidP="00F4169C">
            <w:pPr>
              <w:pStyle w:val="Caption"/>
              <w:jc w:val="center"/>
              <w:rPr>
                <w:rFonts w:ascii="Times New Roman" w:hAnsi="Times New Roman" w:cs="Times New Roman"/>
                <w:b w:val="0"/>
                <w:color w:val="auto"/>
                <w:sz w:val="20"/>
                <w:szCs w:val="20"/>
              </w:rPr>
            </w:pPr>
            <w:r>
              <w:rPr>
                <w:noProof/>
                <w:lang w:eastAsia="en-CA"/>
              </w:rPr>
              <w:drawing>
                <wp:inline distT="0" distB="0" distL="0" distR="0" wp14:anchorId="691FA86B" wp14:editId="7E8CF56C">
                  <wp:extent cx="1968285" cy="2298532"/>
                  <wp:effectExtent l="0" t="0" r="0" b="6985"/>
                  <wp:docPr id="9218" name="Picture 2" descr="F:\Protected\Tonzi Field data\Pictures\June 21, 2012\DSCN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F:\Protected\Tonzi Field data\Pictures\June 21, 2012\DSCN087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5766"/>
                          <a:stretch/>
                        </pic:blipFill>
                        <pic:spPr bwMode="auto">
                          <a:xfrm>
                            <a:off x="0" y="0"/>
                            <a:ext cx="1968285" cy="2298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169C" w:rsidTr="00F4169C">
        <w:tc>
          <w:tcPr>
            <w:tcW w:w="4860" w:type="dxa"/>
            <w:tcBorders>
              <w:top w:val="nil"/>
              <w:left w:val="nil"/>
              <w:bottom w:val="single" w:sz="4" w:space="0" w:color="auto"/>
            </w:tcBorders>
          </w:tcPr>
          <w:p w:rsidR="00F4169C" w:rsidRPr="00F4169C" w:rsidRDefault="00F4169C" w:rsidP="00F4169C">
            <w:pPr>
              <w:pStyle w:val="Caption"/>
              <w:jc w:val="center"/>
              <w:rPr>
                <w:noProof/>
                <w:lang w:eastAsia="en-CA"/>
              </w:rPr>
            </w:pPr>
            <w:r>
              <w:rPr>
                <w:noProof/>
                <w:lang w:eastAsia="en-CA"/>
              </w:rPr>
              <w:drawing>
                <wp:inline distT="0" distB="0" distL="0" distR="0" wp14:anchorId="00B0274D" wp14:editId="00E05A37">
                  <wp:extent cx="2727702" cy="1818482"/>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7124"/>
                          <a:stretch/>
                        </pic:blipFill>
                        <pic:spPr bwMode="auto">
                          <a:xfrm>
                            <a:off x="0" y="0"/>
                            <a:ext cx="2730437" cy="182030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4716" w:type="dxa"/>
            <w:tcBorders>
              <w:top w:val="nil"/>
              <w:bottom w:val="single" w:sz="4" w:space="0" w:color="auto"/>
              <w:right w:val="nil"/>
            </w:tcBorders>
          </w:tcPr>
          <w:p w:rsidR="00F4169C" w:rsidRPr="00F4169C" w:rsidRDefault="00F4169C" w:rsidP="00F4169C">
            <w:pPr>
              <w:pStyle w:val="Caption"/>
              <w:jc w:val="center"/>
              <w:rPr>
                <w:noProof/>
                <w:lang w:eastAsia="en-CA"/>
              </w:rPr>
            </w:pPr>
            <w:r>
              <w:rPr>
                <w:noProof/>
                <w:lang w:eastAsia="en-CA"/>
              </w:rPr>
              <w:drawing>
                <wp:inline distT="0" distB="0" distL="0" distR="0" wp14:anchorId="39F1AE06" wp14:editId="07ADEA72">
                  <wp:extent cx="2340244" cy="1674174"/>
                  <wp:effectExtent l="0" t="0" r="3175" b="254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2567" cy="1675836"/>
                          </a:xfrm>
                          <a:prstGeom prst="rect">
                            <a:avLst/>
                          </a:prstGeom>
                          <a:noFill/>
                          <a:ln>
                            <a:noFill/>
                          </a:ln>
                          <a:effectLst/>
                          <a:extLst/>
                        </pic:spPr>
                      </pic:pic>
                    </a:graphicData>
                  </a:graphic>
                </wp:inline>
              </w:drawing>
            </w:r>
          </w:p>
        </w:tc>
      </w:tr>
      <w:tr w:rsidR="00F4169C" w:rsidTr="00F4169C">
        <w:tc>
          <w:tcPr>
            <w:tcW w:w="4860" w:type="dxa"/>
            <w:tcBorders>
              <w:left w:val="nil"/>
              <w:bottom w:val="nil"/>
            </w:tcBorders>
          </w:tcPr>
          <w:p w:rsidR="00F4169C" w:rsidRDefault="00F4169C" w:rsidP="009266CB">
            <w:pPr>
              <w:pStyle w:val="Caption"/>
              <w:jc w:val="center"/>
              <w:rPr>
                <w:rFonts w:ascii="Times New Roman" w:hAnsi="Times New Roman" w:cs="Times New Roman"/>
                <w:b w:val="0"/>
                <w:color w:val="auto"/>
                <w:sz w:val="20"/>
                <w:szCs w:val="20"/>
              </w:rPr>
            </w:pPr>
            <w:r>
              <w:rPr>
                <w:noProof/>
                <w:lang w:eastAsia="en-CA"/>
              </w:rPr>
              <w:drawing>
                <wp:inline distT="0" distB="0" distL="0" distR="0" wp14:anchorId="3607BC81" wp14:editId="61D77754">
                  <wp:extent cx="673208" cy="1472339"/>
                  <wp:effectExtent l="0" t="0" r="0" b="0"/>
                  <wp:docPr id="2057" name="Picture 9" descr="http://www.riegl.com/uploads/tx_pxprieglproductscore/RIEGL-VZ-400_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http://www.riegl.com/uploads/tx_pxprieglproductscore/RIEGL-VZ-400_3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093" cy="1474274"/>
                          </a:xfrm>
                          <a:prstGeom prst="rect">
                            <a:avLst/>
                          </a:prstGeom>
                          <a:noFill/>
                          <a:extLst/>
                        </pic:spPr>
                      </pic:pic>
                    </a:graphicData>
                  </a:graphic>
                </wp:inline>
              </w:drawing>
            </w:r>
          </w:p>
        </w:tc>
        <w:tc>
          <w:tcPr>
            <w:tcW w:w="4716" w:type="dxa"/>
            <w:tcBorders>
              <w:bottom w:val="nil"/>
              <w:right w:val="nil"/>
            </w:tcBorders>
          </w:tcPr>
          <w:p w:rsidR="00F4169C" w:rsidRDefault="00F4169C" w:rsidP="009266CB">
            <w:pPr>
              <w:pStyle w:val="Caption"/>
              <w:rPr>
                <w:rFonts w:ascii="Times New Roman" w:hAnsi="Times New Roman" w:cs="Times New Roman"/>
                <w:b w:val="0"/>
                <w:color w:val="auto"/>
                <w:sz w:val="20"/>
                <w:szCs w:val="20"/>
              </w:rPr>
            </w:pPr>
            <w:r>
              <w:rPr>
                <w:noProof/>
                <w:lang w:eastAsia="en-CA"/>
              </w:rPr>
              <w:drawing>
                <wp:inline distT="0" distB="0" distL="0" distR="0" wp14:anchorId="2209C2E2" wp14:editId="6B862B1F">
                  <wp:extent cx="2845612" cy="159609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44034" cy="1595211"/>
                          </a:xfrm>
                          <a:prstGeom prst="rect">
                            <a:avLst/>
                          </a:prstGeom>
                        </pic:spPr>
                      </pic:pic>
                    </a:graphicData>
                  </a:graphic>
                </wp:inline>
              </w:drawing>
            </w:r>
          </w:p>
        </w:tc>
      </w:tr>
      <w:tr w:rsidR="00F4169C" w:rsidTr="00F4169C">
        <w:tc>
          <w:tcPr>
            <w:tcW w:w="4860" w:type="dxa"/>
            <w:tcBorders>
              <w:top w:val="nil"/>
              <w:left w:val="nil"/>
              <w:bottom w:val="nil"/>
            </w:tcBorders>
          </w:tcPr>
          <w:p w:rsidR="00F4169C" w:rsidRDefault="00F4169C" w:rsidP="009266CB">
            <w:pPr>
              <w:pStyle w:val="Caption"/>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w:t>
            </w:r>
            <w:r w:rsidRPr="00C71F95">
              <w:rPr>
                <w:rFonts w:ascii="Times New Roman" w:hAnsi="Times New Roman" w:cs="Times New Roman"/>
                <w:noProof/>
                <w:sz w:val="24"/>
                <w:szCs w:val="24"/>
                <w:lang w:eastAsia="en-CA"/>
              </w:rPr>
              <w:drawing>
                <wp:inline distT="0" distB="0" distL="0" distR="0" wp14:anchorId="153127FF" wp14:editId="19D80C20">
                  <wp:extent cx="2417735" cy="189880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421001" cy="1901365"/>
                          </a:xfrm>
                          <a:prstGeom prst="rect">
                            <a:avLst/>
                          </a:prstGeom>
                        </pic:spPr>
                      </pic:pic>
                    </a:graphicData>
                  </a:graphic>
                </wp:inline>
              </w:drawing>
            </w:r>
          </w:p>
          <w:p w:rsidR="00F4169C" w:rsidRPr="00DF4006" w:rsidRDefault="00F4169C" w:rsidP="00643BB8">
            <w:pPr>
              <w:jc w:val="center"/>
              <w:rPr>
                <w:b/>
              </w:rPr>
            </w:pPr>
            <w:r w:rsidRPr="00DF4006">
              <w:rPr>
                <w:b/>
              </w:rPr>
              <w:t>Terrestrial LiDAR</w:t>
            </w:r>
            <w:r>
              <w:rPr>
                <w:b/>
              </w:rPr>
              <w:t xml:space="preserve"> </w:t>
            </w:r>
          </w:p>
        </w:tc>
        <w:tc>
          <w:tcPr>
            <w:tcW w:w="4716" w:type="dxa"/>
            <w:tcBorders>
              <w:top w:val="nil"/>
              <w:bottom w:val="nil"/>
              <w:right w:val="nil"/>
            </w:tcBorders>
          </w:tcPr>
          <w:p w:rsidR="00F4169C" w:rsidRDefault="00F4169C" w:rsidP="009266CB">
            <w:pPr>
              <w:pStyle w:val="Caption"/>
              <w:rPr>
                <w:rFonts w:ascii="Times New Roman" w:hAnsi="Times New Roman" w:cs="Times New Roman"/>
                <w:b w:val="0"/>
                <w:color w:val="auto"/>
                <w:sz w:val="20"/>
                <w:szCs w:val="20"/>
              </w:rPr>
            </w:pPr>
            <w:r>
              <w:rPr>
                <w:noProof/>
                <w:lang w:eastAsia="en-CA"/>
              </w:rPr>
              <w:drawing>
                <wp:inline distT="0" distB="0" distL="0" distR="0" wp14:anchorId="1055DABB" wp14:editId="48B4E6C3">
                  <wp:extent cx="2851688" cy="170431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45612" cy="1700679"/>
                          </a:xfrm>
                          <a:prstGeom prst="rect">
                            <a:avLst/>
                          </a:prstGeom>
                        </pic:spPr>
                      </pic:pic>
                    </a:graphicData>
                  </a:graphic>
                </wp:inline>
              </w:drawing>
            </w:r>
          </w:p>
          <w:p w:rsidR="00F4169C" w:rsidRDefault="00F4169C" w:rsidP="009266CB">
            <w:pPr>
              <w:spacing w:line="276" w:lineRule="auto"/>
            </w:pPr>
          </w:p>
          <w:p w:rsidR="00F4169C" w:rsidRPr="00DF4006" w:rsidRDefault="00F4169C" w:rsidP="00643BB8">
            <w:pPr>
              <w:jc w:val="center"/>
              <w:rPr>
                <w:b/>
              </w:rPr>
            </w:pPr>
            <w:r w:rsidRPr="00DF4006">
              <w:rPr>
                <w:b/>
              </w:rPr>
              <w:t xml:space="preserve">UAV-based LiDAR </w:t>
            </w:r>
          </w:p>
        </w:tc>
      </w:tr>
    </w:tbl>
    <w:p w:rsidR="00F4169C" w:rsidRDefault="00F4169C"/>
    <w:p w:rsidR="00FA7D0A" w:rsidRPr="009266CB" w:rsidRDefault="00C950C7" w:rsidP="00625CBE">
      <w:pPr>
        <w:pStyle w:val="Caption"/>
        <w:jc w:val="center"/>
        <w:rPr>
          <w:b w:val="0"/>
          <w:color w:val="auto"/>
          <w:sz w:val="22"/>
        </w:rPr>
      </w:pPr>
      <w:bookmarkStart w:id="1" w:name="_Ref373942315"/>
      <w:r w:rsidRPr="009266CB">
        <w:rPr>
          <w:b w:val="0"/>
          <w:color w:val="auto"/>
          <w:sz w:val="22"/>
        </w:rPr>
        <w:t xml:space="preserve">Figure </w:t>
      </w:r>
      <w:r w:rsidRPr="009266CB">
        <w:rPr>
          <w:b w:val="0"/>
          <w:color w:val="auto"/>
          <w:sz w:val="22"/>
        </w:rPr>
        <w:fldChar w:fldCharType="begin"/>
      </w:r>
      <w:r w:rsidRPr="009266CB">
        <w:rPr>
          <w:b w:val="0"/>
          <w:color w:val="auto"/>
          <w:sz w:val="22"/>
        </w:rPr>
        <w:instrText xml:space="preserve"> SEQ Figure \* ARABIC </w:instrText>
      </w:r>
      <w:r w:rsidRPr="009266CB">
        <w:rPr>
          <w:b w:val="0"/>
          <w:color w:val="auto"/>
          <w:sz w:val="22"/>
        </w:rPr>
        <w:fldChar w:fldCharType="separate"/>
      </w:r>
      <w:r w:rsidR="00BF7076">
        <w:rPr>
          <w:b w:val="0"/>
          <w:noProof/>
          <w:color w:val="auto"/>
          <w:sz w:val="22"/>
        </w:rPr>
        <w:t>1</w:t>
      </w:r>
      <w:r w:rsidRPr="009266CB">
        <w:rPr>
          <w:b w:val="0"/>
          <w:color w:val="auto"/>
          <w:sz w:val="22"/>
        </w:rPr>
        <w:fldChar w:fldCharType="end"/>
      </w:r>
      <w:bookmarkEnd w:id="1"/>
      <w:r w:rsidRPr="009266CB">
        <w:rPr>
          <w:b w:val="0"/>
          <w:color w:val="auto"/>
          <w:sz w:val="22"/>
        </w:rPr>
        <w:t>: Different LiDAR systems used in forests</w:t>
      </w:r>
      <w:r w:rsidR="00643BB8">
        <w:rPr>
          <w:b w:val="0"/>
          <w:color w:val="auto"/>
          <w:sz w:val="22"/>
        </w:rPr>
        <w:t xml:space="preserve"> (some images from Riegl and UNAVCO)</w:t>
      </w:r>
    </w:p>
    <w:p w:rsidR="00FA7D0A" w:rsidRDefault="00FA7D0A"/>
    <w:p w:rsidR="00625CBE" w:rsidRPr="000A330A" w:rsidRDefault="007D5181" w:rsidP="007D5181">
      <w:pPr>
        <w:pStyle w:val="Caption"/>
      </w:pPr>
      <w:bookmarkStart w:id="2" w:name="_Ref374002112"/>
      <w:r w:rsidRPr="009266CB">
        <w:rPr>
          <w:b w:val="0"/>
          <w:color w:val="auto"/>
          <w:sz w:val="20"/>
        </w:rPr>
        <w:t xml:space="preserve">Table </w:t>
      </w:r>
      <w:r w:rsidRPr="009266CB">
        <w:rPr>
          <w:b w:val="0"/>
          <w:color w:val="auto"/>
          <w:sz w:val="20"/>
        </w:rPr>
        <w:fldChar w:fldCharType="begin"/>
      </w:r>
      <w:r w:rsidRPr="009266CB">
        <w:rPr>
          <w:b w:val="0"/>
          <w:color w:val="auto"/>
          <w:sz w:val="20"/>
        </w:rPr>
        <w:instrText xml:space="preserve"> SEQ Table \* ARABIC </w:instrText>
      </w:r>
      <w:r w:rsidRPr="009266CB">
        <w:rPr>
          <w:b w:val="0"/>
          <w:color w:val="auto"/>
          <w:sz w:val="20"/>
        </w:rPr>
        <w:fldChar w:fldCharType="separate"/>
      </w:r>
      <w:r w:rsidR="00BF7076">
        <w:rPr>
          <w:b w:val="0"/>
          <w:noProof/>
          <w:color w:val="auto"/>
          <w:sz w:val="20"/>
        </w:rPr>
        <w:t>1</w:t>
      </w:r>
      <w:r w:rsidRPr="009266CB">
        <w:rPr>
          <w:b w:val="0"/>
          <w:color w:val="auto"/>
          <w:sz w:val="20"/>
        </w:rPr>
        <w:fldChar w:fldCharType="end"/>
      </w:r>
      <w:bookmarkEnd w:id="2"/>
      <w:r w:rsidRPr="009266CB">
        <w:rPr>
          <w:b w:val="0"/>
          <w:color w:val="auto"/>
          <w:sz w:val="20"/>
        </w:rPr>
        <w:t>:</w:t>
      </w:r>
      <w:r w:rsidR="00625CBE" w:rsidRPr="009266CB">
        <w:rPr>
          <w:color w:val="auto"/>
          <w:sz w:val="20"/>
        </w:rPr>
        <w:t xml:space="preserve"> </w:t>
      </w:r>
      <w:r w:rsidR="00625CBE" w:rsidRPr="00173158">
        <w:rPr>
          <w:rFonts w:ascii="Times New Roman" w:hAnsi="Times New Roman" w:cs="Times New Roman"/>
          <w:b w:val="0"/>
          <w:color w:val="auto"/>
          <w:sz w:val="20"/>
          <w:szCs w:val="20"/>
        </w:rPr>
        <w:t xml:space="preserve">List of FLUXNET sites known to have Airborne LiDAR </w:t>
      </w:r>
      <w:r w:rsidR="00625CBE">
        <w:rPr>
          <w:rFonts w:ascii="Times New Roman" w:hAnsi="Times New Roman" w:cs="Times New Roman"/>
          <w:b w:val="0"/>
          <w:color w:val="auto"/>
          <w:sz w:val="20"/>
          <w:szCs w:val="20"/>
        </w:rPr>
        <w:t xml:space="preserve">(ALS) </w:t>
      </w:r>
      <w:r w:rsidR="00625CBE" w:rsidRPr="00173158">
        <w:rPr>
          <w:rFonts w:ascii="Times New Roman" w:hAnsi="Times New Roman" w:cs="Times New Roman"/>
          <w:b w:val="0"/>
          <w:color w:val="auto"/>
          <w:sz w:val="20"/>
          <w:szCs w:val="20"/>
        </w:rPr>
        <w:t xml:space="preserve">data available as of September 2012. Sites with concomitant </w:t>
      </w:r>
      <w:r w:rsidR="00625CBE">
        <w:rPr>
          <w:rFonts w:ascii="Times New Roman" w:hAnsi="Times New Roman" w:cs="Times New Roman"/>
          <w:b w:val="0"/>
          <w:color w:val="auto"/>
          <w:sz w:val="20"/>
          <w:szCs w:val="20"/>
        </w:rPr>
        <w:t>terrestrial</w:t>
      </w:r>
      <w:r w:rsidR="00625CBE" w:rsidRPr="00173158">
        <w:rPr>
          <w:rFonts w:ascii="Times New Roman" w:hAnsi="Times New Roman" w:cs="Times New Roman"/>
          <w:b w:val="0"/>
          <w:color w:val="auto"/>
          <w:sz w:val="20"/>
          <w:szCs w:val="20"/>
        </w:rPr>
        <w:t xml:space="preserve"> LiDAR </w:t>
      </w:r>
      <w:r w:rsidR="00625CBE">
        <w:rPr>
          <w:rFonts w:ascii="Times New Roman" w:hAnsi="Times New Roman" w:cs="Times New Roman"/>
          <w:b w:val="0"/>
          <w:color w:val="auto"/>
          <w:sz w:val="20"/>
          <w:szCs w:val="20"/>
        </w:rPr>
        <w:t xml:space="preserve">(TLS) </w:t>
      </w:r>
      <w:r w:rsidR="00625CBE" w:rsidRPr="00173158">
        <w:rPr>
          <w:rFonts w:ascii="Times New Roman" w:hAnsi="Times New Roman" w:cs="Times New Roman"/>
          <w:b w:val="0"/>
          <w:color w:val="auto"/>
          <w:sz w:val="20"/>
          <w:szCs w:val="20"/>
        </w:rPr>
        <w:t xml:space="preserve">data available are marked with an asterisk, and sites with Portable Canopy LiDAR </w:t>
      </w:r>
      <w:r w:rsidR="00625CBE">
        <w:rPr>
          <w:rFonts w:ascii="Times New Roman" w:hAnsi="Times New Roman" w:cs="Times New Roman"/>
          <w:b w:val="0"/>
          <w:color w:val="auto"/>
          <w:sz w:val="20"/>
          <w:szCs w:val="20"/>
        </w:rPr>
        <w:t xml:space="preserve">(PCL) </w:t>
      </w:r>
      <w:r w:rsidR="00625CBE" w:rsidRPr="00173158">
        <w:rPr>
          <w:rFonts w:ascii="Times New Roman" w:hAnsi="Times New Roman" w:cs="Times New Roman"/>
          <w:b w:val="0"/>
          <w:color w:val="auto"/>
          <w:sz w:val="20"/>
          <w:szCs w:val="20"/>
        </w:rPr>
        <w:t xml:space="preserve">data are marked with †. Details on individual datasets is available </w:t>
      </w:r>
      <w:proofErr w:type="gramStart"/>
      <w:r w:rsidR="00625CBE" w:rsidRPr="00173158">
        <w:rPr>
          <w:rFonts w:ascii="Times New Roman" w:hAnsi="Times New Roman" w:cs="Times New Roman"/>
          <w:b w:val="0"/>
          <w:color w:val="auto"/>
          <w:sz w:val="20"/>
          <w:szCs w:val="20"/>
        </w:rPr>
        <w:t>at :</w:t>
      </w:r>
      <w:proofErr w:type="gramEnd"/>
      <w:r w:rsidR="00625CBE" w:rsidRPr="00173158">
        <w:rPr>
          <w:rFonts w:ascii="Times New Roman" w:hAnsi="Times New Roman" w:cs="Times New Roman"/>
          <w:b w:val="0"/>
          <w:color w:val="auto"/>
          <w:sz w:val="20"/>
          <w:szCs w:val="20"/>
        </w:rPr>
        <w:t xml:space="preserve"> </w:t>
      </w:r>
      <w:r w:rsidR="00625CBE" w:rsidRPr="00807921">
        <w:rPr>
          <w:rFonts w:ascii="Times New Roman" w:hAnsi="Times New Roman" w:cs="Times New Roman"/>
          <w:b w:val="0"/>
          <w:color w:val="auto"/>
          <w:sz w:val="20"/>
          <w:szCs w:val="20"/>
        </w:rPr>
        <w:t>http://nature.berkeley.edu/mbeland/FLUXNET_LiDAR/</w:t>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950"/>
      </w:tblGrid>
      <w:tr w:rsidR="00625CBE" w:rsidRPr="00C71F95" w:rsidTr="009266CB">
        <w:trPr>
          <w:trHeight w:val="300"/>
        </w:trPr>
        <w:tc>
          <w:tcPr>
            <w:tcW w:w="4788" w:type="dxa"/>
            <w:noWrap/>
          </w:tcPr>
          <w:p w:rsidR="00625CBE" w:rsidRPr="00C71F95" w:rsidRDefault="00625CBE" w:rsidP="009266CB">
            <w:pPr>
              <w:rPr>
                <w:rFonts w:ascii="Times New Roman" w:hAnsi="Times New Roman" w:cs="Times New Roman"/>
                <w:b/>
                <w:sz w:val="24"/>
                <w:szCs w:val="24"/>
              </w:rPr>
            </w:pPr>
            <w:r w:rsidRPr="00C71F95">
              <w:rPr>
                <w:rFonts w:ascii="Times New Roman" w:hAnsi="Times New Roman" w:cs="Times New Roman"/>
                <w:b/>
                <w:sz w:val="24"/>
                <w:szCs w:val="24"/>
              </w:rPr>
              <w:t>Deciduous Broadleaf Forest</w:t>
            </w:r>
          </w:p>
        </w:tc>
        <w:tc>
          <w:tcPr>
            <w:tcW w:w="4950" w:type="dxa"/>
          </w:tcPr>
          <w:p w:rsidR="00625CBE" w:rsidRPr="00C71F95" w:rsidRDefault="00625CBE" w:rsidP="009266CB">
            <w:pPr>
              <w:rPr>
                <w:rFonts w:ascii="Times New Roman" w:hAnsi="Times New Roman" w:cs="Times New Roman"/>
                <w:b/>
                <w:sz w:val="24"/>
                <w:szCs w:val="24"/>
              </w:rPr>
            </w:pPr>
            <w:r w:rsidRPr="00C71F95">
              <w:rPr>
                <w:rFonts w:ascii="Times New Roman" w:hAnsi="Times New Roman" w:cs="Times New Roman"/>
                <w:b/>
                <w:sz w:val="24"/>
                <w:szCs w:val="24"/>
              </w:rPr>
              <w:t>Mixed Forests, Deciduous Broadleaf</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Fontainebleau, France</w:t>
            </w:r>
          </w:p>
        </w:tc>
        <w:tc>
          <w:tcPr>
            <w:tcW w:w="4950" w:type="dxa"/>
          </w:tcPr>
          <w:p w:rsidR="00625CBE" w:rsidRPr="00C71F95" w:rsidRDefault="00625CBE" w:rsidP="00625CBE">
            <w:pPr>
              <w:pStyle w:val="ListParagraph"/>
              <w:numPr>
                <w:ilvl w:val="0"/>
                <w:numId w:val="1"/>
              </w:numPr>
              <w:rPr>
                <w:rFonts w:ascii="Times New Roman" w:hAnsi="Times New Roman" w:cs="Times New Roman"/>
                <w:b/>
                <w:sz w:val="24"/>
                <w:szCs w:val="24"/>
              </w:rPr>
            </w:pPr>
            <w:r w:rsidRPr="00C71F95">
              <w:rPr>
                <w:rFonts w:ascii="Times New Roman" w:hAnsi="Times New Roman" w:cs="Times New Roman"/>
                <w:sz w:val="24"/>
                <w:szCs w:val="24"/>
              </w:rPr>
              <w:t>Bartlett Experimental Forest,  NH, USA*</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Oak Openings, Ohio, USA</w:t>
            </w:r>
          </w:p>
        </w:tc>
        <w:tc>
          <w:tcPr>
            <w:tcW w:w="4950" w:type="dxa"/>
          </w:tcPr>
          <w:p w:rsidR="00625CBE" w:rsidRPr="00C71F95" w:rsidRDefault="00625CBE" w:rsidP="00625CBE">
            <w:pPr>
              <w:pStyle w:val="ListParagraph"/>
              <w:numPr>
                <w:ilvl w:val="0"/>
                <w:numId w:val="1"/>
              </w:numPr>
              <w:rPr>
                <w:rFonts w:ascii="Times New Roman" w:hAnsi="Times New Roman" w:cs="Times New Roman"/>
                <w:b/>
                <w:sz w:val="24"/>
                <w:szCs w:val="24"/>
              </w:rPr>
            </w:pPr>
            <w:r w:rsidRPr="00C71F95">
              <w:rPr>
                <w:rFonts w:ascii="Times New Roman" w:hAnsi="Times New Roman" w:cs="Times New Roman"/>
                <w:sz w:val="24"/>
                <w:szCs w:val="24"/>
              </w:rPr>
              <w:t>Duke Forest, NC, USA</w:t>
            </w:r>
            <w:r>
              <w:rPr>
                <w:rFonts w:ascii="Times New Roman" w:hAnsi="Times New Roman" w:cs="Times New Roman"/>
                <w:sz w:val="24"/>
                <w:szCs w:val="24"/>
              </w:rPr>
              <w:t>†</w:t>
            </w:r>
          </w:p>
        </w:tc>
      </w:tr>
      <w:tr w:rsidR="00625CBE" w:rsidRPr="00C71F95" w:rsidTr="009266CB">
        <w:trPr>
          <w:trHeight w:val="278"/>
        </w:trPr>
        <w:tc>
          <w:tcPr>
            <w:tcW w:w="4788" w:type="dxa"/>
            <w:vMerge w:val="restart"/>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Silas Little Experimental Forest, New Jersey, USA*</w:t>
            </w:r>
            <w:r>
              <w:rPr>
                <w:rFonts w:ascii="Times New Roman" w:hAnsi="Times New Roman" w:cs="Times New Roman"/>
                <w:sz w:val="24"/>
                <w:szCs w:val="24"/>
              </w:rPr>
              <w:t>†</w:t>
            </w:r>
          </w:p>
        </w:tc>
        <w:tc>
          <w:tcPr>
            <w:tcW w:w="4950" w:type="dxa"/>
          </w:tcPr>
          <w:p w:rsidR="00625CBE" w:rsidRPr="00C71F95" w:rsidRDefault="00625CBE" w:rsidP="00625CBE">
            <w:pPr>
              <w:pStyle w:val="ListParagraph"/>
              <w:numPr>
                <w:ilvl w:val="0"/>
                <w:numId w:val="1"/>
              </w:numPr>
              <w:rPr>
                <w:rFonts w:ascii="Times New Roman" w:hAnsi="Times New Roman" w:cs="Times New Roman"/>
                <w:b/>
                <w:sz w:val="24"/>
                <w:szCs w:val="24"/>
              </w:rPr>
            </w:pPr>
            <w:r w:rsidRPr="00C71F95">
              <w:rPr>
                <w:rFonts w:ascii="Times New Roman" w:hAnsi="Times New Roman" w:cs="Times New Roman"/>
                <w:sz w:val="24"/>
                <w:szCs w:val="24"/>
              </w:rPr>
              <w:t>Fichtelgebirge, Germany</w:t>
            </w:r>
          </w:p>
        </w:tc>
      </w:tr>
      <w:tr w:rsidR="00625CBE" w:rsidRPr="00C71F95" w:rsidTr="009266CB">
        <w:trPr>
          <w:trHeight w:val="277"/>
        </w:trPr>
        <w:tc>
          <w:tcPr>
            <w:tcW w:w="4788" w:type="dxa"/>
            <w:vMerge/>
            <w:noWrap/>
          </w:tcPr>
          <w:p w:rsidR="00625CBE" w:rsidRPr="00C71F95" w:rsidRDefault="00625CBE" w:rsidP="00625CBE">
            <w:pPr>
              <w:pStyle w:val="ListParagraph"/>
              <w:numPr>
                <w:ilvl w:val="0"/>
                <w:numId w:val="1"/>
              </w:numPr>
              <w:rPr>
                <w:rFonts w:ascii="Times New Roman" w:hAnsi="Times New Roman" w:cs="Times New Roman"/>
                <w:sz w:val="24"/>
                <w:szCs w:val="24"/>
              </w:rPr>
            </w:pP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Hainich</w:t>
            </w:r>
            <w:proofErr w:type="spellEnd"/>
            <w:r w:rsidRPr="00C71F95">
              <w:rPr>
                <w:rFonts w:ascii="Times New Roman" w:hAnsi="Times New Roman" w:cs="Times New Roman"/>
                <w:sz w:val="24"/>
                <w:szCs w:val="24"/>
              </w:rPr>
              <w:t>, Germany</w:t>
            </w:r>
          </w:p>
        </w:tc>
      </w:tr>
      <w:tr w:rsidR="00625CBE" w:rsidRPr="00C71F95" w:rsidTr="009266CB">
        <w:trPr>
          <w:trHeight w:val="278"/>
        </w:trPr>
        <w:tc>
          <w:tcPr>
            <w:tcW w:w="4788" w:type="dxa"/>
            <w:vMerge w:val="restart"/>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 xml:space="preserve">Smithsonian Environmental </w:t>
            </w:r>
            <w:r>
              <w:rPr>
                <w:rFonts w:ascii="Times New Roman" w:hAnsi="Times New Roman" w:cs="Times New Roman"/>
                <w:sz w:val="24"/>
                <w:szCs w:val="24"/>
              </w:rPr>
              <w:t>Research Center (SERC), MD, USA†</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Harvard Forest, Massachusetts, USA*</w:t>
            </w:r>
            <w:r>
              <w:rPr>
                <w:rFonts w:ascii="Times New Roman" w:hAnsi="Times New Roman" w:cs="Times New Roman"/>
                <w:sz w:val="24"/>
                <w:szCs w:val="24"/>
              </w:rPr>
              <w:t>†</w:t>
            </w:r>
          </w:p>
        </w:tc>
      </w:tr>
      <w:tr w:rsidR="00625CBE" w:rsidRPr="00C71F95" w:rsidTr="009266CB">
        <w:trPr>
          <w:trHeight w:val="277"/>
        </w:trPr>
        <w:tc>
          <w:tcPr>
            <w:tcW w:w="4788" w:type="dxa"/>
            <w:vMerge/>
            <w:noWrap/>
          </w:tcPr>
          <w:p w:rsidR="00625CBE" w:rsidRPr="00C71F95" w:rsidRDefault="00625CBE" w:rsidP="00625CBE">
            <w:pPr>
              <w:pStyle w:val="ListParagraph"/>
              <w:numPr>
                <w:ilvl w:val="0"/>
                <w:numId w:val="1"/>
              </w:numPr>
              <w:rPr>
                <w:rFonts w:ascii="Times New Roman" w:hAnsi="Times New Roman" w:cs="Times New Roman"/>
                <w:sz w:val="24"/>
                <w:szCs w:val="24"/>
              </w:rPr>
            </w:pP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Laegeren</w:t>
            </w:r>
            <w:proofErr w:type="spellEnd"/>
            <w:r w:rsidRPr="00C71F95">
              <w:rPr>
                <w:rFonts w:ascii="Times New Roman" w:hAnsi="Times New Roman" w:cs="Times New Roman"/>
                <w:sz w:val="24"/>
                <w:szCs w:val="24"/>
              </w:rPr>
              <w:t>, Switzerland*</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Willow Creek, Wisconsin, USA</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Park Falls, Wisconsin, USA</w:t>
            </w:r>
          </w:p>
        </w:tc>
      </w:tr>
      <w:tr w:rsidR="00625CBE" w:rsidRPr="00C71F95" w:rsidTr="009266CB">
        <w:trPr>
          <w:trHeight w:val="300"/>
        </w:trPr>
        <w:tc>
          <w:tcPr>
            <w:tcW w:w="4788" w:type="dxa"/>
            <w:noWrap/>
          </w:tcPr>
          <w:p w:rsidR="00625CBE" w:rsidRPr="00C71F95" w:rsidRDefault="00625CBE" w:rsidP="009266CB">
            <w:pPr>
              <w:keepNext/>
              <w:rPr>
                <w:rFonts w:ascii="Times New Roman" w:hAnsi="Times New Roman" w:cs="Times New Roman"/>
                <w:b/>
                <w:sz w:val="24"/>
                <w:szCs w:val="24"/>
              </w:rPr>
            </w:pPr>
            <w:r w:rsidRPr="00C71F95">
              <w:rPr>
                <w:rFonts w:ascii="Times New Roman" w:hAnsi="Times New Roman" w:cs="Times New Roman"/>
                <w:b/>
                <w:sz w:val="24"/>
                <w:szCs w:val="24"/>
              </w:rPr>
              <w:t>Evergreen Broadleaf Forest</w:t>
            </w:r>
          </w:p>
        </w:tc>
        <w:tc>
          <w:tcPr>
            <w:tcW w:w="4950" w:type="dxa"/>
          </w:tcPr>
          <w:p w:rsidR="00625CBE" w:rsidRPr="00C71F95" w:rsidRDefault="00625CBE" w:rsidP="009266CB">
            <w:pPr>
              <w:rPr>
                <w:rFonts w:ascii="Times New Roman" w:hAnsi="Times New Roman" w:cs="Times New Roman"/>
                <w:b/>
                <w:sz w:val="24"/>
                <w:szCs w:val="24"/>
              </w:rPr>
            </w:pPr>
            <w:r w:rsidRPr="00C71F95">
              <w:rPr>
                <w:rFonts w:ascii="Times New Roman" w:hAnsi="Times New Roman" w:cs="Times New Roman"/>
                <w:b/>
                <w:sz w:val="24"/>
                <w:szCs w:val="24"/>
              </w:rPr>
              <w:t>Mixed Forests, Evergreen Needleleaf</w:t>
            </w:r>
          </w:p>
        </w:tc>
      </w:tr>
      <w:tr w:rsidR="00625CBE" w:rsidRPr="00C71F95" w:rsidTr="009266CB">
        <w:trPr>
          <w:trHeight w:val="300"/>
        </w:trPr>
        <w:tc>
          <w:tcPr>
            <w:tcW w:w="4788" w:type="dxa"/>
            <w:noWrap/>
          </w:tcPr>
          <w:p w:rsidR="00625CBE" w:rsidRPr="00C71F95" w:rsidRDefault="00625CBE" w:rsidP="00625CBE">
            <w:pPr>
              <w:pStyle w:val="ListParagraph"/>
              <w:keepNext/>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Tumbarumba</w:t>
            </w:r>
            <w:proofErr w:type="spellEnd"/>
            <w:r w:rsidRPr="00C71F95">
              <w:rPr>
                <w:rFonts w:ascii="Times New Roman" w:hAnsi="Times New Roman" w:cs="Times New Roman"/>
                <w:sz w:val="24"/>
                <w:szCs w:val="24"/>
              </w:rPr>
              <w:t>, Australia</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Groundhog River, Canada*</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Wallaby Creek, Australia</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Loblolly Pine, NC, USA</w:t>
            </w:r>
            <w:r>
              <w:rPr>
                <w:rFonts w:ascii="Times New Roman" w:hAnsi="Times New Roman" w:cs="Times New Roman"/>
                <w:sz w:val="24"/>
                <w:szCs w:val="24"/>
              </w:rPr>
              <w:t>†</w:t>
            </w:r>
          </w:p>
        </w:tc>
      </w:tr>
      <w:tr w:rsidR="00625CBE" w:rsidRPr="00C71F95" w:rsidTr="009266CB">
        <w:trPr>
          <w:trHeight w:val="300"/>
        </w:trPr>
        <w:tc>
          <w:tcPr>
            <w:tcW w:w="4788" w:type="dxa"/>
            <w:noWrap/>
          </w:tcPr>
          <w:p w:rsidR="00625CBE" w:rsidRPr="00C71F95" w:rsidRDefault="00625CBE" w:rsidP="009266CB">
            <w:pPr>
              <w:rPr>
                <w:rFonts w:ascii="Times New Roman" w:hAnsi="Times New Roman" w:cs="Times New Roman"/>
                <w:b/>
                <w:sz w:val="24"/>
                <w:szCs w:val="24"/>
              </w:rPr>
            </w:pPr>
            <w:r w:rsidRPr="00C71F95">
              <w:rPr>
                <w:rFonts w:ascii="Times New Roman" w:hAnsi="Times New Roman" w:cs="Times New Roman"/>
                <w:b/>
                <w:sz w:val="24"/>
                <w:szCs w:val="24"/>
              </w:rPr>
              <w:t>Evergreen Needleleaf Forest</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Weidenbrunnen</w:t>
            </w:r>
            <w:proofErr w:type="spellEnd"/>
            <w:r w:rsidRPr="00C71F95">
              <w:rPr>
                <w:rFonts w:ascii="Times New Roman" w:hAnsi="Times New Roman" w:cs="Times New Roman"/>
                <w:sz w:val="24"/>
                <w:szCs w:val="24"/>
              </w:rPr>
              <w:t>, Germany</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Campbell River, B-C, Canada</w:t>
            </w:r>
          </w:p>
        </w:tc>
        <w:tc>
          <w:tcPr>
            <w:tcW w:w="4950" w:type="dxa"/>
          </w:tcPr>
          <w:p w:rsidR="00625CBE" w:rsidRPr="00C71F95" w:rsidRDefault="00625CBE" w:rsidP="009266CB">
            <w:pPr>
              <w:rPr>
                <w:rFonts w:ascii="Times New Roman" w:hAnsi="Times New Roman" w:cs="Times New Roman"/>
                <w:b/>
                <w:sz w:val="24"/>
                <w:szCs w:val="24"/>
              </w:rPr>
            </w:pPr>
            <w:r w:rsidRPr="00C71F95">
              <w:rPr>
                <w:rFonts w:ascii="Times New Roman" w:hAnsi="Times New Roman" w:cs="Times New Roman"/>
                <w:b/>
                <w:sz w:val="24"/>
                <w:szCs w:val="24"/>
              </w:rPr>
              <w:t xml:space="preserve">Savannas and </w:t>
            </w:r>
            <w:proofErr w:type="spellStart"/>
            <w:r w:rsidRPr="00C71F95">
              <w:rPr>
                <w:rFonts w:ascii="Times New Roman" w:hAnsi="Times New Roman" w:cs="Times New Roman"/>
                <w:b/>
                <w:sz w:val="24"/>
                <w:szCs w:val="24"/>
              </w:rPr>
              <w:t>Shrublands</w:t>
            </w:r>
            <w:proofErr w:type="spellEnd"/>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Cedar Bridge, NJ, USA*</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Adelaide River, Australia</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GLEES, Wyoming, USA</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Daly River Savanna, Australia</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Howland Forest, Maine, USA*</w:t>
            </w:r>
          </w:p>
        </w:tc>
        <w:tc>
          <w:tcPr>
            <w:tcW w:w="4950" w:type="dxa"/>
          </w:tcPr>
          <w:p w:rsidR="00625CBE" w:rsidRPr="00C71F95" w:rsidRDefault="00347754" w:rsidP="00625CB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Dry river, Australia</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Hyytiala</w:t>
            </w:r>
            <w:proofErr w:type="spellEnd"/>
            <w:r w:rsidRPr="00C71F95">
              <w:rPr>
                <w:rFonts w:ascii="Times New Roman" w:hAnsi="Times New Roman" w:cs="Times New Roman"/>
                <w:sz w:val="24"/>
                <w:szCs w:val="24"/>
              </w:rPr>
              <w:t>, Finland*</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Fogg</w:t>
            </w:r>
            <w:proofErr w:type="spellEnd"/>
            <w:r w:rsidRPr="00C71F95">
              <w:rPr>
                <w:rFonts w:ascii="Times New Roman" w:hAnsi="Times New Roman" w:cs="Times New Roman"/>
                <w:sz w:val="24"/>
                <w:szCs w:val="24"/>
              </w:rPr>
              <w:t xml:space="preserve"> Dam, Australia</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Lavarone</w:t>
            </w:r>
            <w:proofErr w:type="spellEnd"/>
            <w:r w:rsidRPr="00C71F95">
              <w:rPr>
                <w:rFonts w:ascii="Times New Roman" w:hAnsi="Times New Roman" w:cs="Times New Roman"/>
                <w:sz w:val="24"/>
                <w:szCs w:val="24"/>
              </w:rPr>
              <w:t>, Italy</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Howard Springs, Australia</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Loobos</w:t>
            </w:r>
            <w:proofErr w:type="spellEnd"/>
            <w:r w:rsidRPr="00C71F95">
              <w:rPr>
                <w:rFonts w:ascii="Times New Roman" w:hAnsi="Times New Roman" w:cs="Times New Roman"/>
                <w:sz w:val="24"/>
                <w:szCs w:val="24"/>
              </w:rPr>
              <w:t>, Netherlands*</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 xml:space="preserve">Las </w:t>
            </w:r>
            <w:proofErr w:type="spellStart"/>
            <w:r w:rsidRPr="00C71F95">
              <w:rPr>
                <w:rFonts w:ascii="Times New Roman" w:hAnsi="Times New Roman" w:cs="Times New Roman"/>
                <w:sz w:val="24"/>
                <w:szCs w:val="24"/>
              </w:rPr>
              <w:t>Majadas</w:t>
            </w:r>
            <w:proofErr w:type="spellEnd"/>
            <w:r w:rsidRPr="00C71F95">
              <w:rPr>
                <w:rFonts w:ascii="Times New Roman" w:hAnsi="Times New Roman" w:cs="Times New Roman"/>
                <w:sz w:val="24"/>
                <w:szCs w:val="24"/>
              </w:rPr>
              <w:t xml:space="preserve"> del </w:t>
            </w:r>
            <w:proofErr w:type="spellStart"/>
            <w:r w:rsidRPr="00C71F95">
              <w:rPr>
                <w:rFonts w:ascii="Times New Roman" w:hAnsi="Times New Roman" w:cs="Times New Roman"/>
                <w:sz w:val="24"/>
                <w:szCs w:val="24"/>
              </w:rPr>
              <w:t>Tietar</w:t>
            </w:r>
            <w:proofErr w:type="spellEnd"/>
            <w:r w:rsidRPr="00C71F95">
              <w:rPr>
                <w:rFonts w:ascii="Times New Roman" w:hAnsi="Times New Roman" w:cs="Times New Roman"/>
                <w:sz w:val="24"/>
                <w:szCs w:val="24"/>
              </w:rPr>
              <w:t>, Spain*</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Metolius</w:t>
            </w:r>
            <w:proofErr w:type="spellEnd"/>
            <w:r>
              <w:rPr>
                <w:rFonts w:ascii="Times New Roman" w:hAnsi="Times New Roman" w:cs="Times New Roman"/>
                <w:sz w:val="24"/>
                <w:szCs w:val="24"/>
              </w:rPr>
              <w:t>, Oregon, USA†</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 xml:space="preserve">Mata </w:t>
            </w:r>
            <w:proofErr w:type="spellStart"/>
            <w:r w:rsidRPr="00C71F95">
              <w:rPr>
                <w:rFonts w:ascii="Times New Roman" w:hAnsi="Times New Roman" w:cs="Times New Roman"/>
                <w:sz w:val="24"/>
                <w:szCs w:val="24"/>
              </w:rPr>
              <w:t>Seca</w:t>
            </w:r>
            <w:proofErr w:type="spellEnd"/>
            <w:r w:rsidRPr="00C71F95">
              <w:rPr>
                <w:rFonts w:ascii="Times New Roman" w:hAnsi="Times New Roman" w:cs="Times New Roman"/>
                <w:sz w:val="24"/>
                <w:szCs w:val="24"/>
              </w:rPr>
              <w:t>, Brazil*</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Niwot</w:t>
            </w:r>
            <w:proofErr w:type="spellEnd"/>
            <w:r w:rsidRPr="00C71F95">
              <w:rPr>
                <w:rFonts w:ascii="Times New Roman" w:hAnsi="Times New Roman" w:cs="Times New Roman"/>
                <w:sz w:val="24"/>
                <w:szCs w:val="24"/>
              </w:rPr>
              <w:t xml:space="preserve"> Ridge, Colorado, USA*</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Santa Rosa National Park, Costa Rica*</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Renon</w:t>
            </w:r>
            <w:proofErr w:type="spellEnd"/>
            <w:r w:rsidRPr="00C71F95">
              <w:rPr>
                <w:rFonts w:ascii="Times New Roman" w:hAnsi="Times New Roman" w:cs="Times New Roman"/>
                <w:sz w:val="24"/>
                <w:szCs w:val="24"/>
              </w:rPr>
              <w:t>/</w:t>
            </w:r>
            <w:proofErr w:type="spellStart"/>
            <w:r w:rsidRPr="00C71F95">
              <w:rPr>
                <w:rFonts w:ascii="Times New Roman" w:hAnsi="Times New Roman" w:cs="Times New Roman"/>
                <w:sz w:val="24"/>
                <w:szCs w:val="24"/>
              </w:rPr>
              <w:t>Ritten</w:t>
            </w:r>
            <w:proofErr w:type="spellEnd"/>
            <w:r w:rsidRPr="00C71F95">
              <w:rPr>
                <w:rFonts w:ascii="Times New Roman" w:hAnsi="Times New Roman" w:cs="Times New Roman"/>
                <w:sz w:val="24"/>
                <w:szCs w:val="24"/>
              </w:rPr>
              <w:t xml:space="preserve"> (Bolzano), Italy*</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Skukuza</w:t>
            </w:r>
            <w:proofErr w:type="spellEnd"/>
            <w:r w:rsidRPr="00C71F95">
              <w:rPr>
                <w:rFonts w:ascii="Times New Roman" w:hAnsi="Times New Roman" w:cs="Times New Roman"/>
                <w:sz w:val="24"/>
                <w:szCs w:val="24"/>
              </w:rPr>
              <w:t>, South Africa*</w:t>
            </w:r>
          </w:p>
        </w:tc>
      </w:tr>
      <w:tr w:rsidR="00625CBE" w:rsidRPr="00C71F95" w:rsidTr="009266CB">
        <w:trPr>
          <w:trHeight w:val="300"/>
        </w:trPr>
        <w:tc>
          <w:tcPr>
            <w:tcW w:w="4788" w:type="dxa"/>
            <w:noWrap/>
          </w:tcPr>
          <w:p w:rsidR="00625CBE" w:rsidRPr="00C71F95" w:rsidRDefault="00625CBE" w:rsidP="00625CBE">
            <w:pPr>
              <w:pStyle w:val="ListParagraph"/>
              <w:numPr>
                <w:ilvl w:val="0"/>
                <w:numId w:val="1"/>
              </w:numPr>
              <w:rPr>
                <w:rFonts w:ascii="Times New Roman" w:hAnsi="Times New Roman" w:cs="Times New Roman"/>
                <w:sz w:val="24"/>
                <w:szCs w:val="24"/>
              </w:rPr>
            </w:pPr>
            <w:r w:rsidRPr="00C71F95">
              <w:rPr>
                <w:rFonts w:ascii="Times New Roman" w:hAnsi="Times New Roman" w:cs="Times New Roman"/>
                <w:sz w:val="24"/>
                <w:szCs w:val="24"/>
              </w:rPr>
              <w:t>Wind Ri</w:t>
            </w:r>
            <w:r>
              <w:rPr>
                <w:rFonts w:ascii="Times New Roman" w:hAnsi="Times New Roman" w:cs="Times New Roman"/>
                <w:sz w:val="24"/>
                <w:szCs w:val="24"/>
              </w:rPr>
              <w:t>ver Crane Site, Washington, USA†</w:t>
            </w:r>
          </w:p>
        </w:tc>
        <w:tc>
          <w:tcPr>
            <w:tcW w:w="4950" w:type="dxa"/>
          </w:tcPr>
          <w:p w:rsidR="00625CBE" w:rsidRPr="00C71F95" w:rsidRDefault="00625CBE" w:rsidP="00625CBE">
            <w:pPr>
              <w:pStyle w:val="ListParagraph"/>
              <w:numPr>
                <w:ilvl w:val="0"/>
                <w:numId w:val="1"/>
              </w:numPr>
              <w:rPr>
                <w:rFonts w:ascii="Times New Roman" w:hAnsi="Times New Roman" w:cs="Times New Roman"/>
                <w:sz w:val="24"/>
                <w:szCs w:val="24"/>
              </w:rPr>
            </w:pPr>
            <w:proofErr w:type="spellStart"/>
            <w:r w:rsidRPr="00C71F95">
              <w:rPr>
                <w:rFonts w:ascii="Times New Roman" w:hAnsi="Times New Roman" w:cs="Times New Roman"/>
                <w:sz w:val="24"/>
                <w:szCs w:val="24"/>
              </w:rPr>
              <w:t>Tonzi</w:t>
            </w:r>
            <w:proofErr w:type="spellEnd"/>
            <w:r w:rsidRPr="00C71F95">
              <w:rPr>
                <w:rFonts w:ascii="Times New Roman" w:hAnsi="Times New Roman" w:cs="Times New Roman"/>
                <w:sz w:val="24"/>
                <w:szCs w:val="24"/>
              </w:rPr>
              <w:t xml:space="preserve"> Ranch, CA, USA*</w:t>
            </w:r>
            <w:r>
              <w:rPr>
                <w:rFonts w:ascii="Times New Roman" w:hAnsi="Times New Roman" w:cs="Times New Roman"/>
                <w:sz w:val="24"/>
                <w:szCs w:val="24"/>
              </w:rPr>
              <w:t>†</w:t>
            </w:r>
          </w:p>
        </w:tc>
      </w:tr>
    </w:tbl>
    <w:p w:rsidR="005D7280" w:rsidRDefault="005D7280"/>
    <w:sectPr w:rsidR="005D7280" w:rsidSect="00C950C7">
      <w:pgSz w:w="12240" w:h="15840"/>
      <w:pgMar w:top="1008" w:right="1080" w:bottom="1008"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5558"/>
    <w:multiLevelType w:val="hybridMultilevel"/>
    <w:tmpl w:val="C8D67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280"/>
    <w:rsid w:val="00045E10"/>
    <w:rsid w:val="002239AD"/>
    <w:rsid w:val="002A63A0"/>
    <w:rsid w:val="002D7FF2"/>
    <w:rsid w:val="002F788C"/>
    <w:rsid w:val="0030429D"/>
    <w:rsid w:val="0032067B"/>
    <w:rsid w:val="0032476D"/>
    <w:rsid w:val="003338FC"/>
    <w:rsid w:val="00347754"/>
    <w:rsid w:val="00493533"/>
    <w:rsid w:val="00565712"/>
    <w:rsid w:val="005A216D"/>
    <w:rsid w:val="005D7280"/>
    <w:rsid w:val="005E7736"/>
    <w:rsid w:val="00625CBE"/>
    <w:rsid w:val="00632BEC"/>
    <w:rsid w:val="00643BB8"/>
    <w:rsid w:val="00671CA6"/>
    <w:rsid w:val="006A5AEA"/>
    <w:rsid w:val="006B1BEA"/>
    <w:rsid w:val="00700CD1"/>
    <w:rsid w:val="00780218"/>
    <w:rsid w:val="007D5181"/>
    <w:rsid w:val="007E4C3B"/>
    <w:rsid w:val="00806A1A"/>
    <w:rsid w:val="00807921"/>
    <w:rsid w:val="00817D89"/>
    <w:rsid w:val="008460B3"/>
    <w:rsid w:val="00846947"/>
    <w:rsid w:val="008C0358"/>
    <w:rsid w:val="008C76E5"/>
    <w:rsid w:val="008E758C"/>
    <w:rsid w:val="008F2F72"/>
    <w:rsid w:val="009266CB"/>
    <w:rsid w:val="009746E2"/>
    <w:rsid w:val="009A13EC"/>
    <w:rsid w:val="009B6370"/>
    <w:rsid w:val="00A0147D"/>
    <w:rsid w:val="00A42BFE"/>
    <w:rsid w:val="00AB4EC6"/>
    <w:rsid w:val="00BF7076"/>
    <w:rsid w:val="00C950C7"/>
    <w:rsid w:val="00D24BF0"/>
    <w:rsid w:val="00D34283"/>
    <w:rsid w:val="00D51099"/>
    <w:rsid w:val="00D603B9"/>
    <w:rsid w:val="00DC688F"/>
    <w:rsid w:val="00E3140D"/>
    <w:rsid w:val="00E60E70"/>
    <w:rsid w:val="00E907F1"/>
    <w:rsid w:val="00ED64E1"/>
    <w:rsid w:val="00F047FE"/>
    <w:rsid w:val="00F11465"/>
    <w:rsid w:val="00F3747C"/>
    <w:rsid w:val="00F4169C"/>
    <w:rsid w:val="00F8783D"/>
    <w:rsid w:val="00FA7D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4169C"/>
    <w:pPr>
      <w:spacing w:line="240" w:lineRule="auto"/>
    </w:pPr>
    <w:rPr>
      <w:b/>
      <w:bCs/>
      <w:color w:val="4F81BD" w:themeColor="accent1"/>
      <w:sz w:val="18"/>
      <w:szCs w:val="18"/>
    </w:rPr>
  </w:style>
  <w:style w:type="table" w:styleId="TableGrid">
    <w:name w:val="Table Grid"/>
    <w:basedOn w:val="TableNormal"/>
    <w:uiPriority w:val="59"/>
    <w:rsid w:val="00F416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1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69C"/>
    <w:rPr>
      <w:rFonts w:ascii="Tahoma" w:hAnsi="Tahoma" w:cs="Tahoma"/>
      <w:sz w:val="16"/>
      <w:szCs w:val="16"/>
    </w:rPr>
  </w:style>
  <w:style w:type="character" w:styleId="CommentReference">
    <w:name w:val="annotation reference"/>
    <w:basedOn w:val="DefaultParagraphFont"/>
    <w:uiPriority w:val="99"/>
    <w:semiHidden/>
    <w:unhideWhenUsed/>
    <w:rsid w:val="00C950C7"/>
    <w:rPr>
      <w:sz w:val="16"/>
      <w:szCs w:val="16"/>
    </w:rPr>
  </w:style>
  <w:style w:type="paragraph" w:styleId="CommentText">
    <w:name w:val="annotation text"/>
    <w:basedOn w:val="Normal"/>
    <w:link w:val="CommentTextChar"/>
    <w:uiPriority w:val="99"/>
    <w:semiHidden/>
    <w:unhideWhenUsed/>
    <w:rsid w:val="00C950C7"/>
    <w:pPr>
      <w:spacing w:line="240" w:lineRule="auto"/>
    </w:pPr>
    <w:rPr>
      <w:sz w:val="20"/>
      <w:szCs w:val="20"/>
    </w:rPr>
  </w:style>
  <w:style w:type="character" w:customStyle="1" w:styleId="CommentTextChar">
    <w:name w:val="Comment Text Char"/>
    <w:basedOn w:val="DefaultParagraphFont"/>
    <w:link w:val="CommentText"/>
    <w:uiPriority w:val="99"/>
    <w:semiHidden/>
    <w:rsid w:val="00C950C7"/>
    <w:rPr>
      <w:sz w:val="20"/>
      <w:szCs w:val="20"/>
    </w:rPr>
  </w:style>
  <w:style w:type="character" w:styleId="Hyperlink">
    <w:name w:val="Hyperlink"/>
    <w:basedOn w:val="DefaultParagraphFont"/>
    <w:uiPriority w:val="99"/>
    <w:unhideWhenUsed/>
    <w:rsid w:val="00625CBE"/>
    <w:rPr>
      <w:color w:val="0000FF" w:themeColor="hyperlink"/>
      <w:u w:val="single"/>
    </w:rPr>
  </w:style>
  <w:style w:type="paragraph" w:styleId="ListParagraph">
    <w:name w:val="List Paragraph"/>
    <w:basedOn w:val="Normal"/>
    <w:uiPriority w:val="34"/>
    <w:qFormat/>
    <w:rsid w:val="00625C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4169C"/>
    <w:pPr>
      <w:spacing w:line="240" w:lineRule="auto"/>
    </w:pPr>
    <w:rPr>
      <w:b/>
      <w:bCs/>
      <w:color w:val="4F81BD" w:themeColor="accent1"/>
      <w:sz w:val="18"/>
      <w:szCs w:val="18"/>
    </w:rPr>
  </w:style>
  <w:style w:type="table" w:styleId="TableGrid">
    <w:name w:val="Table Grid"/>
    <w:basedOn w:val="TableNormal"/>
    <w:uiPriority w:val="59"/>
    <w:rsid w:val="00F416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1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69C"/>
    <w:rPr>
      <w:rFonts w:ascii="Tahoma" w:hAnsi="Tahoma" w:cs="Tahoma"/>
      <w:sz w:val="16"/>
      <w:szCs w:val="16"/>
    </w:rPr>
  </w:style>
  <w:style w:type="character" w:styleId="CommentReference">
    <w:name w:val="annotation reference"/>
    <w:basedOn w:val="DefaultParagraphFont"/>
    <w:uiPriority w:val="99"/>
    <w:semiHidden/>
    <w:unhideWhenUsed/>
    <w:rsid w:val="00C950C7"/>
    <w:rPr>
      <w:sz w:val="16"/>
      <w:szCs w:val="16"/>
    </w:rPr>
  </w:style>
  <w:style w:type="paragraph" w:styleId="CommentText">
    <w:name w:val="annotation text"/>
    <w:basedOn w:val="Normal"/>
    <w:link w:val="CommentTextChar"/>
    <w:uiPriority w:val="99"/>
    <w:semiHidden/>
    <w:unhideWhenUsed/>
    <w:rsid w:val="00C950C7"/>
    <w:pPr>
      <w:spacing w:line="240" w:lineRule="auto"/>
    </w:pPr>
    <w:rPr>
      <w:sz w:val="20"/>
      <w:szCs w:val="20"/>
    </w:rPr>
  </w:style>
  <w:style w:type="character" w:customStyle="1" w:styleId="CommentTextChar">
    <w:name w:val="Comment Text Char"/>
    <w:basedOn w:val="DefaultParagraphFont"/>
    <w:link w:val="CommentText"/>
    <w:uiPriority w:val="99"/>
    <w:semiHidden/>
    <w:rsid w:val="00C950C7"/>
    <w:rPr>
      <w:sz w:val="20"/>
      <w:szCs w:val="20"/>
    </w:rPr>
  </w:style>
  <w:style w:type="character" w:styleId="Hyperlink">
    <w:name w:val="Hyperlink"/>
    <w:basedOn w:val="DefaultParagraphFont"/>
    <w:uiPriority w:val="99"/>
    <w:unhideWhenUsed/>
    <w:rsid w:val="00625CBE"/>
    <w:rPr>
      <w:color w:val="0000FF" w:themeColor="hyperlink"/>
      <w:u w:val="single"/>
    </w:rPr>
  </w:style>
  <w:style w:type="paragraph" w:styleId="ListParagraph">
    <w:name w:val="List Paragraph"/>
    <w:basedOn w:val="Normal"/>
    <w:uiPriority w:val="34"/>
    <w:qFormat/>
    <w:rsid w:val="00625C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73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2FDED5D7DF2041B4523D45C67078A0" ma:contentTypeVersion="1" ma:contentTypeDescription="Create a new document." ma:contentTypeScope="" ma:versionID="8c44a3b8beb325923bfe0789fd80032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0694B48-C1A9-48CA-AB95-7CB700755412}"/>
</file>

<file path=customXml/itemProps2.xml><?xml version="1.0" encoding="utf-8"?>
<ds:datastoreItem xmlns:ds="http://schemas.openxmlformats.org/officeDocument/2006/customXml" ds:itemID="{6FDCD75D-9328-4F23-AAED-5951DE6AB647}"/>
</file>

<file path=customXml/itemProps3.xml><?xml version="1.0" encoding="utf-8"?>
<ds:datastoreItem xmlns:ds="http://schemas.openxmlformats.org/officeDocument/2006/customXml" ds:itemID="{51D2FBFD-581E-42C3-AC9D-7C444629A482}"/>
</file>

<file path=docProps/app.xml><?xml version="1.0" encoding="utf-8"?>
<Properties xmlns="http://schemas.openxmlformats.org/officeDocument/2006/extended-properties" xmlns:vt="http://schemas.openxmlformats.org/officeDocument/2006/docPropsVTypes">
  <Template>Normal.dotm</Template>
  <TotalTime>1157</TotalTime>
  <Pages>4</Pages>
  <Words>900</Words>
  <Characters>5131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Martin</cp:lastModifiedBy>
  <cp:revision>47</cp:revision>
  <cp:lastPrinted>2013-12-05T19:12:00Z</cp:lastPrinted>
  <dcterms:created xsi:type="dcterms:W3CDTF">2013-12-05T00:51:00Z</dcterms:created>
  <dcterms:modified xsi:type="dcterms:W3CDTF">2013-12-06T19:51:00Z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0x0101002B2FDED5D7DF2041B4523D45C67078A0</vt:lpwstr>
  </property>
</Properties>
</file>